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证券代码：000881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证券简称：中广核技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公告编号：202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42</w:t>
            </w:r>
          </w:p>
        </w:tc>
      </w:tr>
    </w:tbl>
    <w:p>
      <w:pPr>
        <w:snapToGrid w:val="0"/>
        <w:spacing w:before="156" w:beforeLines="5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关于董事辞职的公告</w:t>
      </w:r>
    </w:p>
    <w:p>
      <w:pPr>
        <w:snapToGrid w:val="0"/>
        <w:spacing w:before="156" w:beforeLines="50" w:line="360" w:lineRule="auto"/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snapToGrid w:val="0"/>
        <w:spacing w:line="360" w:lineRule="auto"/>
        <w:ind w:left="105" w:leftChars="50" w:firstLine="360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中广核核技术发展股份有限公司（以下简称“公司”）董事会于202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 w:val="24"/>
          <w:szCs w:val="24"/>
        </w:rPr>
        <w:t>日收到非独立董事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文志涛</w:t>
      </w:r>
      <w:r>
        <w:rPr>
          <w:rFonts w:hint="eastAsia" w:ascii="Times New Roman" w:hAnsi="Times New Roman" w:eastAsia="宋体" w:cs="Times New Roman"/>
          <w:sz w:val="24"/>
          <w:szCs w:val="24"/>
        </w:rPr>
        <w:t>先生提交的书面辞职报告，文志涛先生因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工作调整</w:t>
      </w:r>
      <w:r>
        <w:rPr>
          <w:rFonts w:hint="eastAsia" w:ascii="Times New Roman" w:hAnsi="Times New Roman" w:eastAsia="宋体" w:cs="Times New Roman"/>
          <w:sz w:val="24"/>
          <w:szCs w:val="24"/>
        </w:rPr>
        <w:t>，申请辞去公司董事及董事会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审计</w:t>
      </w:r>
      <w:r>
        <w:rPr>
          <w:rFonts w:hint="eastAsia" w:ascii="Times New Roman" w:hAnsi="Times New Roman" w:eastAsia="宋体" w:cs="Times New Roman"/>
          <w:sz w:val="24"/>
          <w:szCs w:val="24"/>
        </w:rPr>
        <w:t>委员会委员、董事会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提名</w:t>
      </w:r>
      <w:r>
        <w:rPr>
          <w:rFonts w:hint="eastAsia" w:ascii="Times New Roman" w:hAnsi="Times New Roman" w:eastAsia="宋体" w:cs="Times New Roman"/>
          <w:sz w:val="24"/>
          <w:szCs w:val="24"/>
        </w:rPr>
        <w:t>委员会委员职务，辞职后不再担任公司任何职务。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《中华人民共和国公司法》《深圳证券交易所上市公司自律监管指引第1号—主板上市公司规范运作》和《公司章程》的有关规定，文志涛先生的辞职不会导致公司董事会成员低于法定最低人数，不影响董事会的正常运作。文志涛先生的辞职报告自送达公司董事会之日起生效。公司董事会将按法定程序尽快完成董事的补选工作。截至本公告披露日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</w:t>
      </w:r>
      <w:r>
        <w:rPr>
          <w:rFonts w:hint="eastAsia" w:ascii="Times New Roman" w:hAnsi="Times New Roman" w:eastAsia="宋体" w:cs="Times New Roman"/>
          <w:sz w:val="24"/>
          <w:szCs w:val="24"/>
        </w:rPr>
        <w:t>未持有本公司股份。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文志涛先生在任职期间恪尽职守、勤勉尽责，公司及董事会对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</w:t>
      </w:r>
      <w:r>
        <w:rPr>
          <w:rFonts w:hint="eastAsia" w:ascii="Times New Roman" w:hAnsi="Times New Roman" w:eastAsia="宋体" w:cs="Times New Roman"/>
          <w:sz w:val="24"/>
          <w:szCs w:val="24"/>
        </w:rPr>
        <w:t>在任董事期间为公司发展做出的贡献表示衷心的感谢。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4"/>
    <w:rsid w:val="00041C29"/>
    <w:rsid w:val="0011373E"/>
    <w:rsid w:val="00535124"/>
    <w:rsid w:val="005775DC"/>
    <w:rsid w:val="005E1349"/>
    <w:rsid w:val="006A000B"/>
    <w:rsid w:val="007F60D4"/>
    <w:rsid w:val="009F38D1"/>
    <w:rsid w:val="00AB4D7C"/>
    <w:rsid w:val="00C03804"/>
    <w:rsid w:val="00F65144"/>
    <w:rsid w:val="05FB3C64"/>
    <w:rsid w:val="14D45975"/>
    <w:rsid w:val="17037F06"/>
    <w:rsid w:val="1D4B7250"/>
    <w:rsid w:val="547D7EFE"/>
    <w:rsid w:val="64C13038"/>
    <w:rsid w:val="74B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30</TotalTime>
  <ScaleCrop>false</ScaleCrop>
  <LinksUpToDate>false</LinksUpToDate>
  <CharactersWithSpaces>491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Xie Zheng 谢铮</dc:creator>
  <cp:lastModifiedBy>P194919</cp:lastModifiedBy>
  <dcterms:modified xsi:type="dcterms:W3CDTF">2024-06-26T06:11:27Z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